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Times New Roman" w:hAnsi="Times New Roman" w:eastAsia="方正仿宋_GB2312" w:cs="方正仿宋_GB2312"/>
          <w:color w:val="000000"/>
          <w:spacing w:val="2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20"/>
          <w:sz w:val="44"/>
          <w:szCs w:val="44"/>
        </w:rPr>
        <w:t>甘肃省艺术基金2024年度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申报项目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汇总表</w:t>
      </w:r>
    </w:p>
    <w:p>
      <w:pPr>
        <w:spacing w:line="500" w:lineRule="exact"/>
        <w:ind w:firstLine="320" w:firstLineChars="100"/>
        <w:rPr>
          <w:rFonts w:hint="eastAsia" w:ascii="Times New Roman" w:hAnsi="Times New Roman" w:eastAsia="方正仿宋_GB2312" w:cs="方正仿宋_GB2312"/>
          <w:snapToGrid w:val="0"/>
          <w:color w:val="000000"/>
          <w:kern w:val="0"/>
          <w:sz w:val="32"/>
          <w:szCs w:val="32"/>
        </w:rPr>
      </w:pPr>
    </w:p>
    <w:p>
      <w:pPr>
        <w:spacing w:line="500" w:lineRule="exact"/>
        <w:ind w:firstLine="280" w:firstLineChars="1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 xml:space="preserve">填表单位（盖章）：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28"/>
          <w:szCs w:val="28"/>
        </w:rPr>
        <w:t xml:space="preserve">                                     填表时间：2024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>年   月   日</w:t>
      </w:r>
    </w:p>
    <w:tbl>
      <w:tblPr>
        <w:tblStyle w:val="7"/>
        <w:tblpPr w:leftFromText="180" w:rightFromText="180" w:vertAnchor="text" w:horzAnchor="page" w:tblpX="1713" w:tblpY="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12"/>
        <w:gridCol w:w="1668"/>
        <w:gridCol w:w="1980"/>
        <w:gridCol w:w="1584"/>
        <w:gridCol w:w="1476"/>
        <w:gridCol w:w="1524"/>
        <w:gridCol w:w="1200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项目单位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spacing w:val="-18"/>
                <w:kern w:val="0"/>
                <w:sz w:val="28"/>
                <w:szCs w:val="28"/>
              </w:rPr>
              <w:t>艺术门类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center" w:pos="594"/>
              </w:tabs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5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1679" w:leftChars="133" w:hanging="1400" w:hangingChars="500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>填表说明：1.该表由市（州）党委宣传部/文广旅局/省属单位/省内高校</w:t>
      </w:r>
      <w:r>
        <w:rPr>
          <w:rFonts w:hint="eastAsia" w:ascii="Times New Roman" w:hAnsi="Times New Roman" w:eastAsia="仿宋_GB2312" w:cs="仿宋_GB2312"/>
          <w:snapToGrid w:val="0"/>
          <w:color w:val="C00000"/>
          <w:kern w:val="0"/>
          <w:sz w:val="28"/>
          <w:szCs w:val="28"/>
        </w:rPr>
        <w:t>/</w:t>
      </w:r>
      <w:r>
        <w:rPr>
          <w:rFonts w:hint="eastAsia" w:ascii="Times New Roman" w:hAnsi="Times New Roman" w:eastAsia="仿宋_GB2312" w:cs="仿宋_GB2312"/>
          <w:snapToGrid w:val="0"/>
          <w:color w:val="C00000"/>
          <w:kern w:val="0"/>
          <w:sz w:val="28"/>
          <w:szCs w:val="28"/>
          <w:lang w:val="en-US" w:eastAsia="zh-CN"/>
        </w:rPr>
        <w:t>省级影视主管部门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>汇总填写；</w:t>
      </w:r>
    </w:p>
    <w:p>
      <w:pPr>
        <w:spacing w:line="400" w:lineRule="exact"/>
        <w:ind w:left="1676" w:leftChars="798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>2.项目类别根据《申报指南》关于项目类型的要求，一一对应填写申报项目类型；</w:t>
      </w:r>
    </w:p>
    <w:p>
      <w:pPr>
        <w:spacing w:line="400" w:lineRule="exact"/>
        <w:ind w:left="1676" w:leftChars="798"/>
        <w:rPr>
          <w:rFonts w:hint="eastAsia" w:ascii="Times New Roman" w:hAnsi="Times New Roman"/>
        </w:rPr>
        <w:sectPr>
          <w:pgSz w:w="16840" w:h="11910" w:orient="landscape"/>
          <w:pgMar w:top="1800" w:right="1440" w:bottom="1800" w:left="1440" w:header="720" w:footer="1122" w:gutter="0"/>
          <w:cols w:space="720" w:num="1"/>
        </w:sect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8"/>
          <w:szCs w:val="28"/>
        </w:rPr>
        <w:t>3.艺术门类根据《申报指南》关于艺术门类的要求，一一对应不同项目类型中的具体门类。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5961"/>
    <w:rsid w:val="11A3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uiPriority w:val="0"/>
    <w:pPr>
      <w:ind w:left="1000" w:leftChars="10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2024-10-25T07:04:00Z</dcterms:created>
  <dc:creator>Rhonda</dc:creator>
  <cp:lastModifiedBy>Rhonda</cp:lastModifiedBy>
  <dcterms:modified xsi:type="dcterms:W3CDTF">2024-10-25T07:05:08Z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328081469_cloud</vt:lpwstr>
  </property>
</Properties>
</file>